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F005" w14:textId="2DD7EE9E" w:rsidR="1662AEED" w:rsidRPr="00BE70FF" w:rsidRDefault="006F313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Lead </w:t>
      </w:r>
      <w:r w:rsidR="00BE70FF"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0AD6C9D9" w:rsidR="00277C72" w:rsidRDefault="006F3138" w:rsidP="0009161A">
      <w:pPr>
        <w:jc w:val="both"/>
        <w:rPr>
          <w:rFonts w:ascii="Nunito" w:hAnsi="Nunito" w:cs="Arial"/>
        </w:rPr>
      </w:pPr>
      <w:r>
        <w:rPr>
          <w:rFonts w:ascii="Nunito" w:hAnsi="Nunito" w:cs="Arial"/>
        </w:rPr>
        <w:t>To lead a team of cover supervisors on a daily basis and support the cover team to deploy supply and support staff to</w:t>
      </w:r>
      <w:r w:rsidR="00AD4BA5" w:rsidRPr="14404C2B">
        <w:rPr>
          <w:rFonts w:ascii="Nunito" w:hAnsi="Nunito" w:cs="Arial"/>
        </w:rPr>
        <w:t xml:space="preserve">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EEB49FE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 xml:space="preserve">the </w:t>
      </w:r>
      <w:r w:rsidR="006F3138">
        <w:rPr>
          <w:rFonts w:ascii="Nunito" w:hAnsi="Nunito" w:cs="Arial"/>
        </w:rPr>
        <w:t>Deputy Headteacher and cover lead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73825F26" w14:textId="35F2A3BF" w:rsidR="006F3138" w:rsidRDefault="006F3138" w:rsidP="0009161A">
      <w:pPr>
        <w:jc w:val="both"/>
        <w:rPr>
          <w:rFonts w:ascii="Nunito" w:hAnsi="Nunito" w:cs="Arial"/>
        </w:rPr>
      </w:pPr>
    </w:p>
    <w:p w14:paraId="3880AAD5" w14:textId="59B78217" w:rsidR="006F3138" w:rsidRDefault="006F3138" w:rsidP="006F3138">
      <w:pPr>
        <w:pStyle w:val="ListParagraph"/>
        <w:numPr>
          <w:ilvl w:val="0"/>
          <w:numId w:val="23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Meeting supply and support staff daily to oversee induction, safeguarding and day to day routines. </w:t>
      </w:r>
    </w:p>
    <w:p w14:paraId="5581142B" w14:textId="411F3297" w:rsidR="00CE3D64" w:rsidRPr="006F3138" w:rsidRDefault="006F3138" w:rsidP="0009161A">
      <w:pPr>
        <w:pStyle w:val="ListParagraph"/>
        <w:numPr>
          <w:ilvl w:val="0"/>
          <w:numId w:val="23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To support supply staff as required throughout the day. </w:t>
      </w: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62356359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7E5E6A6A" w14:textId="5C78C9EB" w:rsidR="00BD6D80" w:rsidRPr="006F3138" w:rsidRDefault="00426789" w:rsidP="006F3138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27424DE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6515FAF0" w14:textId="121BD0B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5022AE4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85DE8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3B67BA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519F9C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7664F593" w14:textId="3AB22E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60BF06B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B72C6A0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1D3A978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F98EC17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0DBF551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55AB694" w14:textId="6BD4FB9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C514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7B7AAB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C1DBF5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C94DD7" w14:paraId="2BF35DA1" w14:textId="77777777" w:rsidTr="009E0C8E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0A5127DF" w:rsidR="00D10F6E" w:rsidRPr="00C94DD7" w:rsidRDefault="00D10F6E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77CFB987" w14:textId="7C4367AA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10F6E" w:rsidRPr="00C94DD7" w:rsidRDefault="00D10F6E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0ECE1E3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AA2A87D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D26BA3F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7196A" w:rsidRPr="00C94DD7" w14:paraId="35FC4BE4" w14:textId="77777777" w:rsidTr="007F5C29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41AD4124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A8C956" w14:textId="1324A268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1C40B81E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4227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C6CE7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BAC30B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D950C5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  <w:tr w:rsidR="0037196A" w:rsidRPr="00C94DD7" w14:paraId="1C5DE29D" w14:textId="77777777" w:rsidTr="0037196A">
        <w:trPr>
          <w:trHeight w:val="712"/>
        </w:trPr>
        <w:tc>
          <w:tcPr>
            <w:tcW w:w="2014" w:type="dxa"/>
            <w:shd w:val="clear" w:color="auto" w:fill="00BCB4"/>
          </w:tcPr>
          <w:p w14:paraId="16F318AA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705E11E" w14:textId="77777777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9E796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614F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705A9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515363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8DDB3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6925E3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31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31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29D4"/>
    <w:multiLevelType w:val="hybridMultilevel"/>
    <w:tmpl w:val="E23C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20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1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3138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87EE8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1337a48-0cd8-454d-a5d5-0962ec88cfcc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269f20-19b1-4a51-ac6a-6ec3990f14fd"/>
  </ds:schemaRefs>
</ds:datastoreItem>
</file>

<file path=customXml/itemProps2.xml><?xml version="1.0" encoding="utf-8"?>
<ds:datastoreItem xmlns:ds="http://schemas.openxmlformats.org/officeDocument/2006/customXml" ds:itemID="{F173F904-38C8-4C09-8447-E3B2D6F67C1F}"/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2</cp:revision>
  <cp:lastPrinted>2020-11-25T16:22:00Z</cp:lastPrinted>
  <dcterms:created xsi:type="dcterms:W3CDTF">2021-01-12T18:44:00Z</dcterms:created>
  <dcterms:modified xsi:type="dcterms:W3CDTF">2021-01-12T18:44:00Z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